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1F14E2EB"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#1</w:t>
      </w:r>
      <w:r w:rsidR="000C0A31">
        <w:rPr>
          <w:rFonts w:ascii="Arial" w:hAnsi="Arial" w:cs="Arial"/>
          <w:b/>
          <w:noProof/>
          <w:sz w:val="24"/>
          <w:szCs w:val="24"/>
        </w:rPr>
        <w:t>50</w:t>
      </w:r>
      <w:r w:rsidR="00AB188C" w:rsidRPr="00524C1F">
        <w:rPr>
          <w:rFonts w:ascii="Arial" w:hAnsi="Arial" w:cs="Arial"/>
          <w:b/>
          <w:noProof/>
          <w:sz w:val="24"/>
          <w:szCs w:val="24"/>
        </w:rPr>
        <w:t>E</w:t>
      </w:r>
      <w:r w:rsidR="00AB188C">
        <w:rPr>
          <w:rFonts w:ascii="Arial" w:hAnsi="Arial" w:cs="Arial"/>
          <w:b/>
          <w:noProof/>
          <w:sz w:val="24"/>
          <w:szCs w:val="24"/>
        </w:rPr>
        <w:tab/>
      </w:r>
      <w:r w:rsidR="00F60D6D" w:rsidRPr="00F60D6D">
        <w:rPr>
          <w:rFonts w:ascii="Arial" w:hAnsi="Arial" w:cs="Arial"/>
          <w:b/>
          <w:bCs/>
          <w:color w:val="auto"/>
          <w:sz w:val="26"/>
          <w:szCs w:val="26"/>
        </w:rPr>
        <w:t>S2-220</w:t>
      </w:r>
      <w:r w:rsidR="00082A6F">
        <w:rPr>
          <w:rFonts w:ascii="Arial" w:hAnsi="Arial" w:cs="Arial"/>
          <w:b/>
          <w:bCs/>
          <w:color w:val="auto"/>
          <w:sz w:val="26"/>
          <w:szCs w:val="26"/>
        </w:rPr>
        <w:t>3283</w:t>
      </w:r>
    </w:p>
    <w:p w14:paraId="0751D435" w14:textId="11E150C0" w:rsidR="00AB188C" w:rsidRPr="000C0A31" w:rsidRDefault="00E66212" w:rsidP="000C0A31">
      <w:pPr>
        <w:keepLines/>
        <w:pBdr>
          <w:bottom w:val="single" w:sz="6" w:space="0" w:color="auto"/>
        </w:pBdr>
        <w:tabs>
          <w:tab w:val="right" w:pos="9638"/>
        </w:tabs>
        <w:snapToGrid w:val="0"/>
        <w:rPr>
          <w:rFonts w:ascii="Arial" w:hAnsi="Arial" w:cs="Arial"/>
          <w:b/>
          <w:color w:val="auto"/>
          <w:sz w:val="24"/>
          <w:szCs w:val="28"/>
        </w:rPr>
      </w:pPr>
      <w:r>
        <w:rPr>
          <w:rFonts w:ascii="Arial" w:hAnsi="Arial" w:cs="Arial"/>
          <w:b/>
          <w:sz w:val="24"/>
          <w:szCs w:val="28"/>
        </w:rPr>
        <w:t xml:space="preserve">06 - 12 </w:t>
      </w:r>
      <w:proofErr w:type="gramStart"/>
      <w:r>
        <w:rPr>
          <w:rFonts w:ascii="Arial" w:hAnsi="Arial" w:cs="Arial"/>
          <w:b/>
          <w:sz w:val="24"/>
          <w:szCs w:val="28"/>
        </w:rPr>
        <w:t>April,</w:t>
      </w:r>
      <w:proofErr w:type="gramEnd"/>
      <w:r>
        <w:rPr>
          <w:rFonts w:ascii="Arial" w:hAnsi="Arial" w:cs="Arial"/>
          <w:b/>
          <w:sz w:val="24"/>
          <w:szCs w:val="28"/>
        </w:rPr>
        <w:t xml:space="preserve"> 2022, Electronic meeting</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2774FC8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0C0A31">
        <w:rPr>
          <w:rFonts w:ascii="Arial" w:hAnsi="Arial" w:cs="Arial"/>
          <w:b/>
        </w:rPr>
        <w:t>Architecture Assumption</w:t>
      </w:r>
      <w:r w:rsidR="00E72BA3">
        <w:rPr>
          <w:rFonts w:ascii="Arial" w:hAnsi="Arial" w:cs="Arial"/>
          <w:b/>
        </w:rPr>
        <w:t xml:space="preserve">: </w:t>
      </w:r>
      <w:r w:rsidR="00707E06" w:rsidRPr="0016710E">
        <w:rPr>
          <w:rFonts w:ascii="Arial" w:hAnsi="Arial" w:cs="Arial"/>
          <w:b/>
        </w:rPr>
        <w:t xml:space="preserve">VMR </w:t>
      </w:r>
      <w:r w:rsidR="000C0A31">
        <w:rPr>
          <w:rFonts w:ascii="Arial" w:hAnsi="Arial" w:cs="Arial"/>
          <w:b/>
        </w:rPr>
        <w:t xml:space="preserve">not </w:t>
      </w:r>
      <w:r w:rsidR="0016710E" w:rsidRPr="0016710E">
        <w:rPr>
          <w:rFonts w:ascii="Arial" w:hAnsi="Arial" w:cs="Arial"/>
          <w:b/>
        </w:rPr>
        <w:t>a</w:t>
      </w:r>
      <w:r w:rsidR="00A75186">
        <w:rPr>
          <w:rFonts w:ascii="Arial" w:hAnsi="Arial" w:cs="Arial"/>
          <w:b/>
        </w:rPr>
        <w:t>pplicab</w:t>
      </w:r>
      <w:r w:rsidR="000C0A31">
        <w:rPr>
          <w:rFonts w:ascii="Arial" w:hAnsi="Arial" w:cs="Arial"/>
          <w:b/>
        </w:rPr>
        <w:t>le</w:t>
      </w:r>
      <w:r w:rsidR="00707E06" w:rsidRPr="0016710E">
        <w:rPr>
          <w:rFonts w:ascii="Arial" w:hAnsi="Arial" w:cs="Arial"/>
          <w:b/>
        </w:rPr>
        <w:t xml:space="preserve"> </w:t>
      </w:r>
      <w:r w:rsidR="00A75186">
        <w:rPr>
          <w:rFonts w:ascii="Arial" w:hAnsi="Arial" w:cs="Arial"/>
          <w:b/>
        </w:rPr>
        <w:t>to</w:t>
      </w:r>
      <w:r w:rsidR="00707E06" w:rsidRPr="0016710E">
        <w:rPr>
          <w:rFonts w:ascii="Arial" w:hAnsi="Arial" w:cs="Arial"/>
          <w:b/>
        </w:rPr>
        <w:t xml:space="preserve"> NR satellite access</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011A9B12"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9.9</w:t>
      </w:r>
    </w:p>
    <w:p w14:paraId="456D2A75" w14:textId="43F2014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A70B59">
        <w:rPr>
          <w:rFonts w:ascii="Arial" w:hAnsi="Arial" w:cs="Arial"/>
          <w:b/>
        </w:rPr>
        <w:t>FS_</w:t>
      </w:r>
      <w:r w:rsidR="00AD4D49">
        <w:rPr>
          <w:rFonts w:ascii="Arial" w:hAnsi="Arial" w:cs="Arial"/>
          <w:b/>
        </w:rPr>
        <w:t>VMR</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1B52E023" w14:textId="48718356" w:rsidR="002A67A5" w:rsidRDefault="001212D5" w:rsidP="002A67A5">
      <w:pPr>
        <w:pStyle w:val="1"/>
      </w:pPr>
      <w:bookmarkStart w:id="0" w:name="_Toc462478989"/>
      <w:r>
        <w:t>1</w:t>
      </w:r>
      <w:r>
        <w:tab/>
      </w:r>
      <w:r w:rsidR="00870DD4">
        <w:t>Discussion</w:t>
      </w:r>
    </w:p>
    <w:p w14:paraId="7DE089A4" w14:textId="14C889F1" w:rsidR="00DF2CFF" w:rsidRPr="0016710E" w:rsidRDefault="00556D73" w:rsidP="00AB188C">
      <w:pPr>
        <w:rPr>
          <w:lang w:eastAsia="ko-KR"/>
        </w:rPr>
      </w:pPr>
      <w:r>
        <w:rPr>
          <w:lang w:eastAsia="ko-KR"/>
        </w:rPr>
        <w:t xml:space="preserve">It is </w:t>
      </w:r>
      <w:r w:rsidR="00E66212">
        <w:rPr>
          <w:lang w:eastAsia="ko-KR"/>
        </w:rPr>
        <w:t>clarified</w:t>
      </w:r>
      <w:r>
        <w:rPr>
          <w:lang w:eastAsia="ko-KR"/>
        </w:rPr>
        <w:t xml:space="preserve"> in </w:t>
      </w:r>
      <w:bookmarkStart w:id="1" w:name="S2-2201954"/>
      <w:r w:rsidR="00E66212">
        <w:fldChar w:fldCharType="begin"/>
      </w:r>
      <w:r w:rsidR="00E66212">
        <w:instrText xml:space="preserve"> HYPERLINK "https://www.3gpp.org/ftp/tsg_sa/WG2_Arch/TSGS2_150E_Electronic_2022-04/Docs/S2-2201954.zip" \t "_blank" </w:instrText>
      </w:r>
      <w:r w:rsidR="00E66212">
        <w:fldChar w:fldCharType="separate"/>
      </w:r>
      <w:r w:rsidR="00E66212">
        <w:rPr>
          <w:rStyle w:val="af"/>
          <w:rFonts w:ascii="Arial" w:hAnsi="Arial" w:cs="Arial"/>
          <w:b/>
          <w:bCs/>
          <w:sz w:val="16"/>
          <w:szCs w:val="16"/>
          <w:shd w:val="clear" w:color="auto" w:fill="FFFFFF"/>
        </w:rPr>
        <w:t>S2-2201954</w:t>
      </w:r>
      <w:r w:rsidR="00E66212">
        <w:fldChar w:fldCharType="end"/>
      </w:r>
      <w:bookmarkEnd w:id="1"/>
      <w:r>
        <w:t xml:space="preserve"> that</w:t>
      </w:r>
      <w:r w:rsidR="00E66212" w:rsidRPr="00E66212">
        <w:t xml:space="preserve"> RAN WGs will not consider satellite access in the Rel-18 work on Mobile IAB</w:t>
      </w:r>
      <w:r w:rsidR="0016710E">
        <w:t>.</w:t>
      </w:r>
    </w:p>
    <w:p w14:paraId="49B90503" w14:textId="6DAA3DF9" w:rsidR="001212D5" w:rsidRDefault="00BD0B0E" w:rsidP="001212D5">
      <w:pPr>
        <w:pStyle w:val="1"/>
      </w:pPr>
      <w:r>
        <w:t>2</w:t>
      </w:r>
      <w:r w:rsidR="001212D5">
        <w:tab/>
      </w:r>
      <w:r w:rsidR="00940588">
        <w:t>Proposal</w:t>
      </w:r>
      <w:bookmarkEnd w:id="0"/>
    </w:p>
    <w:p w14:paraId="6C19BB9D" w14:textId="346214AC"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TS23.700-05</w:t>
      </w:r>
      <w:r w:rsidRPr="00C57016">
        <w:rPr>
          <w:rFonts w:eastAsiaTheme="minorEastAsia"/>
          <w:color w:val="auto"/>
          <w:lang w:eastAsia="en-US"/>
        </w:rPr>
        <w:t>.</w:t>
      </w:r>
    </w:p>
    <w:p w14:paraId="7945B747" w14:textId="77777777" w:rsidR="00D8564A" w:rsidRDefault="00D8564A" w:rsidP="00AD4D49">
      <w:pPr>
        <w:pStyle w:val="1"/>
      </w:pPr>
    </w:p>
    <w:p w14:paraId="15151F2E" w14:textId="2933885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76051E" w14:textId="77777777" w:rsidR="00217A93" w:rsidRDefault="00217A93" w:rsidP="00217A93">
      <w:pPr>
        <w:pStyle w:val="1"/>
      </w:pPr>
      <w:bookmarkStart w:id="3" w:name="_Toc93486476"/>
      <w:bookmarkStart w:id="4" w:name="_Toc96617614"/>
      <w:bookmarkEnd w:id="2"/>
      <w:r>
        <w:t>4</w:t>
      </w:r>
      <w:r>
        <w:tab/>
        <w:t>Architecture assumptions and requirements</w:t>
      </w:r>
      <w:bookmarkEnd w:id="3"/>
      <w:bookmarkEnd w:id="4"/>
    </w:p>
    <w:p w14:paraId="4EAF1FB2" w14:textId="77777777" w:rsidR="00217A93" w:rsidRDefault="00217A93" w:rsidP="00217A93">
      <w:pPr>
        <w:pStyle w:val="2"/>
      </w:pPr>
      <w:bookmarkStart w:id="5" w:name="_Toc93486477"/>
      <w:bookmarkStart w:id="6" w:name="_Toc96617615"/>
      <w:r>
        <w:t>4.1</w:t>
      </w:r>
      <w:r>
        <w:tab/>
        <w:t>Architecture assumptions</w:t>
      </w:r>
      <w:bookmarkEnd w:id="5"/>
      <w:bookmarkEnd w:id="6"/>
    </w:p>
    <w:p w14:paraId="2F5FDAAA" w14:textId="77777777" w:rsidR="00217A93" w:rsidRDefault="00217A93" w:rsidP="00217A93">
      <w:r>
        <w:t xml:space="preserve">The study should be based on the following architecture assumptions: </w:t>
      </w:r>
    </w:p>
    <w:p w14:paraId="0B546DEC" w14:textId="77777777" w:rsidR="00217A93" w:rsidRDefault="00217A93" w:rsidP="00217A93">
      <w:pPr>
        <w:pStyle w:val="B1"/>
        <w:rPr>
          <w:lang w:val="en-US"/>
        </w:rPr>
      </w:pPr>
      <w:r>
        <w:rPr>
          <w:lang w:val="en-US"/>
        </w:rPr>
        <w:t xml:space="preserve">- </w:t>
      </w:r>
      <w:r>
        <w:rPr>
          <w:lang w:val="en-US"/>
        </w:rPr>
        <w:tab/>
        <w:t>t</w:t>
      </w:r>
      <w:r>
        <w:t xml:space="preserve">he </w:t>
      </w:r>
      <w:r>
        <w:rPr>
          <w:lang w:val="en-US"/>
        </w:rPr>
        <w:t>mobile base station relays uses</w:t>
      </w:r>
      <w:r>
        <w:t xml:space="preserve"> the IAB </w:t>
      </w:r>
      <w:r>
        <w:rPr>
          <w:lang w:val="en-US"/>
        </w:rPr>
        <w:t>architecture as defined in TS 23.501 [2] clause 5.35;</w:t>
      </w:r>
    </w:p>
    <w:p w14:paraId="4109B91F" w14:textId="7F875900" w:rsidR="00217A93" w:rsidRDefault="00217A93" w:rsidP="00217A93">
      <w:pPr>
        <w:pStyle w:val="NO"/>
        <w:rPr>
          <w:ins w:id="7" w:author="Aoyagi, Kenichiro | Aoken | RMI" w:date="2022-03-29T14:13:00Z"/>
        </w:rPr>
      </w:pPr>
      <w:r>
        <w:rPr>
          <w:lang w:val="en-US"/>
        </w:rPr>
        <w:t>NOTE</w:t>
      </w:r>
      <w:ins w:id="8" w:author="Aoyagi, Kenichiro | Aoken | RMI" w:date="2022-03-29T14:21:00Z">
        <w:r w:rsidR="00E66212">
          <w:rPr>
            <w:lang w:val="en-US"/>
          </w:rPr>
          <w:t xml:space="preserve"> 1</w:t>
        </w:r>
      </w:ins>
      <w:r>
        <w:rPr>
          <w:lang w:val="en-US"/>
        </w:rPr>
        <w:t xml:space="preserve">: </w:t>
      </w:r>
      <w:r>
        <w:tab/>
        <w:t xml:space="preserve">Any other alternative of base station relay </w:t>
      </w:r>
      <w:r>
        <w:rPr>
          <w:lang w:val="en-US"/>
        </w:rPr>
        <w:t xml:space="preserve">architecture </w:t>
      </w:r>
      <w:r>
        <w:t>depends on the RAN study output if any</w:t>
      </w:r>
      <w:r>
        <w:rPr>
          <w:lang w:val="en-US"/>
        </w:rPr>
        <w:t xml:space="preserve"> and should be discussed with relevant RAN WGs</w:t>
      </w:r>
      <w:r>
        <w:t>.</w:t>
      </w:r>
    </w:p>
    <w:p w14:paraId="6DBD9EC1" w14:textId="1E1BBB6F" w:rsidR="00E66212" w:rsidRDefault="00E66212" w:rsidP="00E66212">
      <w:pPr>
        <w:pStyle w:val="NO"/>
        <w:rPr>
          <w:ins w:id="9" w:author="Aoyagi, Kenichiro | Aoken | RMI" w:date="2022-03-29T14:14:00Z"/>
        </w:rPr>
      </w:pPr>
      <w:commentRangeStart w:id="10"/>
      <w:ins w:id="11" w:author="Aoyagi, Kenichiro | Aoken | RMI" w:date="2022-03-29T14:14:00Z">
        <w:r>
          <w:rPr>
            <w:lang w:val="en-US"/>
          </w:rPr>
          <w:t>NOTE</w:t>
        </w:r>
      </w:ins>
      <w:ins w:id="12" w:author="Aoyagi, Kenichiro | Aoken | RMI" w:date="2022-03-29T14:21:00Z">
        <w:r>
          <w:rPr>
            <w:lang w:val="en-US"/>
          </w:rPr>
          <w:t xml:space="preserve"> 2</w:t>
        </w:r>
      </w:ins>
      <w:ins w:id="13" w:author="Aoyagi, Kenichiro | Aoken | RMI" w:date="2022-03-29T14:14:00Z">
        <w:r>
          <w:rPr>
            <w:lang w:val="en-US"/>
          </w:rPr>
          <w:t xml:space="preserve">: </w:t>
        </w:r>
        <w:r>
          <w:tab/>
        </w:r>
      </w:ins>
      <w:ins w:id="14" w:author="Aoyagi, Kenichiro | Aoken | RMI" w:date="2022-03-29T14:15:00Z">
        <w:r>
          <w:t xml:space="preserve">The </w:t>
        </w:r>
        <w:r>
          <w:rPr>
            <w:lang w:val="en-US"/>
          </w:rPr>
          <w:t xml:space="preserve">mobile </w:t>
        </w:r>
      </w:ins>
      <w:commentRangeEnd w:id="10"/>
      <w:r w:rsidR="005064F6">
        <w:rPr>
          <w:rStyle w:val="af0"/>
          <w:rFonts w:eastAsia="SimSun"/>
          <w:color w:val="auto"/>
          <w:lang w:eastAsia="en-US"/>
        </w:rPr>
        <w:commentReference w:id="10"/>
      </w:r>
      <w:ins w:id="15" w:author="Aoyagi, Kenichiro | Aoken | RMI" w:date="2022-03-29T14:15:00Z">
        <w:r>
          <w:rPr>
            <w:lang w:val="en-US"/>
          </w:rPr>
          <w:t>base station relay</w:t>
        </w:r>
        <w:del w:id="16" w:author="Huawei" w:date="2022-04-08T10:16:00Z">
          <w:r w:rsidDel="00284E18">
            <w:rPr>
              <w:lang w:val="en-US"/>
            </w:rPr>
            <w:delText>s</w:delText>
          </w:r>
        </w:del>
      </w:ins>
      <w:ins w:id="17" w:author="Huawei" w:date="2022-04-08T10:16:00Z">
        <w:r w:rsidR="00284E18">
          <w:rPr>
            <w:lang w:val="en-US"/>
          </w:rPr>
          <w:t xml:space="preserve"> (i.e. IAB node)</w:t>
        </w:r>
      </w:ins>
      <w:ins w:id="18" w:author="Aoyagi, Kenichiro | Aoken | RMI" w:date="2022-03-29T14:15:00Z">
        <w:r w:rsidRPr="00E66212">
          <w:t xml:space="preserve"> </w:t>
        </w:r>
      </w:ins>
      <w:ins w:id="19" w:author="Aoyagi, Kenichiro | Aoken | RMI" w:date="2022-03-29T14:14:00Z">
        <w:r w:rsidRPr="00E66212">
          <w:t xml:space="preserve">is not applicable to NR satellite access </w:t>
        </w:r>
      </w:ins>
      <w:ins w:id="20" w:author="Aoyagi, Kenichiro | Aoken | RMI" w:date="2022-03-29T14:15:00Z">
        <w:del w:id="21" w:author="Huawei" w:date="2022-04-08T10:16:00Z">
          <w:r w:rsidDel="00284E18">
            <w:delText>which</w:delText>
          </w:r>
        </w:del>
      </w:ins>
      <w:ins w:id="22" w:author="Aoyagi, Kenichiro | Aoken | RMI" w:date="2022-03-29T14:14:00Z">
        <w:del w:id="23" w:author="Huawei" w:date="2022-04-08T10:16:00Z">
          <w:r w:rsidRPr="00E66212" w:rsidDel="00284E18">
            <w:delText xml:space="preserve"> </w:delText>
          </w:r>
        </w:del>
      </w:ins>
      <w:ins w:id="24" w:author="Aoyagi, Kenichiro | Aoken | RMI" w:date="2022-03-29T14:17:00Z">
        <w:del w:id="25" w:author="Huawei" w:date="2022-04-08T10:16:00Z">
          <w:r w:rsidDel="00284E18">
            <w:delText xml:space="preserve">IAB </w:delText>
          </w:r>
        </w:del>
      </w:ins>
      <w:ins w:id="26" w:author="Aoyagi, Kenichiro | Aoken | RMI" w:date="2022-03-29T14:14:00Z">
        <w:del w:id="27" w:author="Huawei" w:date="2022-04-08T10:16:00Z">
          <w:r w:rsidRPr="00E66212" w:rsidDel="00284E18">
            <w:delText xml:space="preserve">is not to be applicable </w:delText>
          </w:r>
        </w:del>
        <w:r w:rsidRPr="00E66212">
          <w:t>in this release</w:t>
        </w:r>
        <w:r>
          <w:t>.</w:t>
        </w:r>
      </w:ins>
    </w:p>
    <w:p w14:paraId="2D0FB18E" w14:textId="77777777" w:rsidR="00217A93" w:rsidRDefault="00217A93" w:rsidP="00217A93">
      <w:pPr>
        <w:pStyle w:val="B1"/>
        <w:rPr>
          <w:lang w:val="en-US"/>
        </w:rPr>
      </w:pPr>
      <w:r>
        <w:rPr>
          <w:lang w:val="en-US"/>
        </w:rPr>
        <w:t xml:space="preserve">- </w:t>
      </w:r>
      <w:r>
        <w:rPr>
          <w:lang w:val="en-US"/>
        </w:rPr>
        <w:tab/>
        <w:t>the mobile base station relay has a single hop to the IAB-donor node;</w:t>
      </w:r>
    </w:p>
    <w:p w14:paraId="4E1B5F84" w14:textId="77777777" w:rsidR="00217A93" w:rsidRDefault="00217A93" w:rsidP="00217A93">
      <w:pPr>
        <w:pStyle w:val="B1"/>
        <w:rPr>
          <w:lang w:val="en-US"/>
        </w:rPr>
      </w:pPr>
      <w:r>
        <w:rPr>
          <w:lang w:val="en-US"/>
        </w:rPr>
        <w:t xml:space="preserve">- </w:t>
      </w:r>
      <w:r>
        <w:rPr>
          <w:lang w:val="en-US"/>
        </w:rPr>
        <w:tab/>
        <w:t>the mobile base station relay may serve UEs located inside or outside the vehicle mounted with the relay;</w:t>
      </w:r>
    </w:p>
    <w:p w14:paraId="0B2C1702" w14:textId="77777777" w:rsidR="00217A93" w:rsidRDefault="00217A93" w:rsidP="00217A93">
      <w:pPr>
        <w:pStyle w:val="B1"/>
        <w:rPr>
          <w:lang w:val="en-US"/>
        </w:rPr>
      </w:pPr>
      <w:r>
        <w:rPr>
          <w:lang w:val="en-US"/>
        </w:rPr>
        <w:t xml:space="preserve">-  </w:t>
      </w:r>
      <w:r>
        <w:rPr>
          <w:lang w:val="en-US"/>
        </w:rPr>
        <w:tab/>
      </w:r>
      <w:r>
        <w:t xml:space="preserve">NR </w:t>
      </w:r>
      <w:proofErr w:type="spellStart"/>
      <w:r>
        <w:t>Uu</w:t>
      </w:r>
      <w:proofErr w:type="spellEnd"/>
      <w:r>
        <w:t xml:space="preserve"> </w:t>
      </w:r>
      <w:r>
        <w:rPr>
          <w:lang w:val="en-US"/>
        </w:rPr>
        <w:t>is used for the radio link between a mobile base station relay and served</w:t>
      </w:r>
      <w:r>
        <w:t xml:space="preserve"> UE</w:t>
      </w:r>
      <w:r>
        <w:rPr>
          <w:lang w:val="en-US"/>
        </w:rPr>
        <w:t xml:space="preserve">s, and between mobile base station relay and IAB-donor node. </w:t>
      </w:r>
      <w:r>
        <w:t xml:space="preserve">However, optimization solutions </w:t>
      </w:r>
      <w:r>
        <w:rPr>
          <w:lang w:val="en-US"/>
        </w:rPr>
        <w:t>can also consider</w:t>
      </w:r>
      <w:r>
        <w:t xml:space="preserve"> combining other functionalities, e.g. using PC5 for discovery and mobility assistance/control amongst relays</w:t>
      </w:r>
      <w:r>
        <w:rPr>
          <w:lang w:val="en-US"/>
        </w:rPr>
        <w:t>;</w:t>
      </w:r>
    </w:p>
    <w:p w14:paraId="357B6937" w14:textId="77777777" w:rsidR="00217A93" w:rsidRDefault="00217A93" w:rsidP="00217A93">
      <w:pPr>
        <w:pStyle w:val="B1"/>
      </w:pPr>
      <w:r>
        <w:rPr>
          <w:lang w:val="en-US"/>
        </w:rPr>
        <w:t>-</w:t>
      </w:r>
      <w:r>
        <w:rPr>
          <w:lang w:val="en-US"/>
        </w:rPr>
        <w:tab/>
        <w:t xml:space="preserve">LCS framework as defined in TS 23.273 [4] is used for providing the location service to the served UEs; </w:t>
      </w:r>
    </w:p>
    <w:p w14:paraId="5A803361" w14:textId="77777777" w:rsidR="00217A93" w:rsidRDefault="00217A93" w:rsidP="00217A93">
      <w:pPr>
        <w:pStyle w:val="B1"/>
        <w:rPr>
          <w:lang w:val="en-US"/>
        </w:rPr>
      </w:pPr>
      <w:r>
        <w:rPr>
          <w:lang w:val="en-US"/>
        </w:rPr>
        <w:t>-</w:t>
      </w:r>
      <w:r>
        <w:rPr>
          <w:lang w:val="en-US"/>
        </w:rPr>
        <w:tab/>
        <w:t xml:space="preserve">the mobile base station may connect to an IAB-donor node of a PLMN or an SNPN. </w:t>
      </w:r>
    </w:p>
    <w:p w14:paraId="033FE643" w14:textId="77777777" w:rsidR="00217A93" w:rsidRDefault="00217A93" w:rsidP="00217A93">
      <w:pPr>
        <w:pStyle w:val="EX"/>
      </w:pPr>
      <w:r>
        <w:rPr>
          <w:lang w:val="en-US"/>
        </w:rPr>
        <w:t xml:space="preserve"> </w:t>
      </w:r>
    </w:p>
    <w:p w14:paraId="45713988" w14:textId="77777777" w:rsidR="00217A93" w:rsidRDefault="00217A93" w:rsidP="00217A93">
      <w:pPr>
        <w:pStyle w:val="2"/>
      </w:pPr>
      <w:bookmarkStart w:id="28" w:name="_Toc93486478"/>
      <w:bookmarkStart w:id="29" w:name="_Toc96617616"/>
      <w:r>
        <w:lastRenderedPageBreak/>
        <w:t>4.2</w:t>
      </w:r>
      <w:r>
        <w:tab/>
        <w:t>Architecture requirements</w:t>
      </w:r>
      <w:bookmarkEnd w:id="28"/>
      <w:bookmarkEnd w:id="29"/>
    </w:p>
    <w:p w14:paraId="23B90228" w14:textId="77777777" w:rsidR="00217A93" w:rsidRDefault="00217A93" w:rsidP="00217A93">
      <w:bookmarkStart w:id="30" w:name="_Hlk85474208"/>
      <w:r>
        <w:t xml:space="preserve">Solutions of the study should provide architecture and system level enhancements to the 5G system to support the operation of base station relays to satisfy the normative requirements in TS 22.261 [3]. Specifically, the enhanced system needs to: </w:t>
      </w:r>
    </w:p>
    <w:p w14:paraId="0B948AA8" w14:textId="77777777" w:rsidR="00217A93" w:rsidRDefault="00217A93" w:rsidP="00217A93">
      <w:pPr>
        <w:pStyle w:val="B1"/>
        <w:rPr>
          <w:color w:val="auto"/>
          <w:lang w:val="en-US"/>
        </w:rPr>
      </w:pPr>
      <w:bookmarkStart w:id="31" w:name="_Hlk85474113"/>
      <w:r>
        <w:t xml:space="preserve">- </w:t>
      </w:r>
      <w:r>
        <w:tab/>
      </w:r>
      <w:r>
        <w:rPr>
          <w:lang w:val="en-US"/>
        </w:rPr>
        <w:t>support</w:t>
      </w:r>
      <w:r>
        <w:t xml:space="preserve"> legacy UE(s)</w:t>
      </w:r>
      <w:r>
        <w:rPr>
          <w:lang w:val="en-US"/>
        </w:rPr>
        <w:t xml:space="preserve"> to connect via base station relays,</w:t>
      </w:r>
      <w:r>
        <w:t xml:space="preserve"> but can consider optimizations involving UE changes</w:t>
      </w:r>
      <w:r>
        <w:rPr>
          <w:lang w:val="en-US"/>
        </w:rPr>
        <w:t>;</w:t>
      </w:r>
    </w:p>
    <w:p w14:paraId="5C980581" w14:textId="77777777" w:rsidR="00217A93" w:rsidRDefault="00217A93" w:rsidP="00217A93">
      <w:pPr>
        <w:pStyle w:val="B1"/>
        <w:rPr>
          <w:lang w:val="en-US"/>
        </w:rPr>
      </w:pPr>
      <w:r>
        <w:rPr>
          <w:lang w:val="en-US"/>
        </w:rPr>
        <w:t xml:space="preserve">- </w:t>
      </w:r>
      <w:r>
        <w:rPr>
          <w:lang w:val="en-US"/>
        </w:rPr>
        <w:tab/>
        <w:t>support end-to-end service continuity, in the presence of mobile base station relays, including when the mobile base station relays change the IAB-donor nodes;</w:t>
      </w:r>
    </w:p>
    <w:p w14:paraId="4F1801BA" w14:textId="41131B52" w:rsidR="00217A93" w:rsidRDefault="00217A93" w:rsidP="00217A93">
      <w:pPr>
        <w:pStyle w:val="B1"/>
        <w:rPr>
          <w:ins w:id="32" w:author="Huawei" w:date="2022-04-08T10:18:00Z"/>
          <w:lang w:val="en-US"/>
        </w:rPr>
      </w:pPr>
      <w:r>
        <w:rPr>
          <w:lang w:val="en-US"/>
        </w:rPr>
        <w:t>-</w:t>
      </w:r>
      <w:r>
        <w:rPr>
          <w:lang w:val="en-US"/>
        </w:rPr>
        <w:tab/>
        <w:t>support the mobile network operator to configure, provision and control the operation of a mobile base station relay</w:t>
      </w:r>
      <w:ins w:id="33" w:author="Aoyagi, Kenichiro | Aoken | RMI" w:date="2022-03-29T14:16:00Z">
        <w:del w:id="34" w:author="Huawei" w:date="2022-04-08T10:21:00Z">
          <w:r w:rsidR="00E66212" w:rsidDel="00D0724C">
            <w:rPr>
              <w:lang w:val="en-US"/>
            </w:rPr>
            <w:delText xml:space="preserve"> </w:delText>
          </w:r>
          <w:commentRangeStart w:id="35"/>
          <w:r w:rsidR="00E66212" w:rsidRPr="00E66212" w:rsidDel="00D0724C">
            <w:rPr>
              <w:lang w:val="en-US"/>
            </w:rPr>
            <w:delText xml:space="preserve">including the access control for the </w:delText>
          </w:r>
        </w:del>
      </w:ins>
      <w:ins w:id="36" w:author="Aoyagi, Kenichiro | Aoken | RMI" w:date="2022-03-29T14:26:00Z">
        <w:del w:id="37" w:author="Huawei" w:date="2022-04-08T10:21:00Z">
          <w:r w:rsidR="000C0A31" w:rsidDel="00D0724C">
            <w:rPr>
              <w:lang w:val="en-US"/>
            </w:rPr>
            <w:delText xml:space="preserve">NR </w:delText>
          </w:r>
        </w:del>
      </w:ins>
      <w:ins w:id="38" w:author="Aoyagi, Kenichiro | Aoken | RMI" w:date="2022-03-29T14:16:00Z">
        <w:del w:id="39" w:author="Huawei" w:date="2022-04-08T10:21:00Z">
          <w:r w:rsidR="00E66212" w:rsidRPr="00E66212" w:rsidDel="00D0724C">
            <w:rPr>
              <w:lang w:val="en-US"/>
            </w:rPr>
            <w:delText xml:space="preserve">satellite access </w:delText>
          </w:r>
        </w:del>
      </w:ins>
      <w:ins w:id="40" w:author="Aoyagi, Kenichiro | Aoken | RMI" w:date="2022-03-29T14:26:00Z">
        <w:del w:id="41" w:author="Huawei" w:date="2022-04-08T10:21:00Z">
          <w:r w:rsidR="000C0A31" w:rsidDel="00D0724C">
            <w:rPr>
              <w:lang w:val="en-US"/>
            </w:rPr>
            <w:delText xml:space="preserve">to </w:delText>
          </w:r>
        </w:del>
      </w:ins>
      <w:ins w:id="42" w:author="Aoyagi, Kenichiro | Aoken | RMI" w:date="2022-03-29T14:16:00Z">
        <w:del w:id="43" w:author="Huawei" w:date="2022-04-08T10:21:00Z">
          <w:r w:rsidR="00E66212" w:rsidRPr="00E66212" w:rsidDel="00D0724C">
            <w:rPr>
              <w:lang w:val="en-US"/>
            </w:rPr>
            <w:delText>which the mobile base station relays are not applicable in this release</w:delText>
          </w:r>
          <w:r w:rsidR="00E66212" w:rsidDel="00D0724C">
            <w:rPr>
              <w:lang w:val="en-US"/>
            </w:rPr>
            <w:delText xml:space="preserve"> </w:delText>
          </w:r>
        </w:del>
      </w:ins>
      <w:commentRangeEnd w:id="35"/>
      <w:del w:id="44" w:author="Huawei" w:date="2022-04-08T10:21:00Z">
        <w:r w:rsidR="00716F66" w:rsidDel="00D0724C">
          <w:rPr>
            <w:rStyle w:val="af0"/>
            <w:rFonts w:eastAsia="SimSun"/>
            <w:color w:val="auto"/>
            <w:lang w:eastAsia="en-US"/>
          </w:rPr>
          <w:commentReference w:id="35"/>
        </w:r>
      </w:del>
      <w:r>
        <w:rPr>
          <w:lang w:val="en-US"/>
        </w:rPr>
        <w:t>;</w:t>
      </w:r>
    </w:p>
    <w:p w14:paraId="4509FDB2" w14:textId="60902097" w:rsidR="00716F66" w:rsidRPr="00D0724C" w:rsidRDefault="00716F66" w:rsidP="00256582">
      <w:pPr>
        <w:pStyle w:val="NO"/>
        <w:rPr>
          <w:rFonts w:eastAsiaTheme="minorEastAsia"/>
          <w:lang w:val="en-US"/>
        </w:rPr>
      </w:pPr>
      <w:ins w:id="45" w:author="Huawei" w:date="2022-04-08T10:18:00Z">
        <w:r>
          <w:rPr>
            <w:lang w:val="en-US"/>
          </w:rPr>
          <w:t>NOTE</w:t>
        </w:r>
      </w:ins>
      <w:ins w:id="46" w:author="Huawei" w:date="2022-04-08T10:19:00Z">
        <w:r w:rsidR="00B903F7">
          <w:rPr>
            <w:lang w:val="en-US"/>
          </w:rPr>
          <w:t xml:space="preserve"> </w:t>
        </w:r>
      </w:ins>
      <w:ins w:id="47" w:author="Huawei" w:date="2022-04-08T10:21:00Z">
        <w:r w:rsidR="00B903F7">
          <w:rPr>
            <w:lang w:val="en-US"/>
          </w:rPr>
          <w:t xml:space="preserve">1: </w:t>
        </w:r>
      </w:ins>
      <w:ins w:id="48" w:author="Huawei" w:date="2022-04-08T10:18:00Z">
        <w:r>
          <w:rPr>
            <w:lang w:val="en-US"/>
          </w:rPr>
          <w:t>T</w:t>
        </w:r>
        <w:r w:rsidRPr="00716F66">
          <w:rPr>
            <w:rFonts w:hint="eastAsia"/>
            <w:lang w:val="en-US"/>
          </w:rPr>
          <w:t>he</w:t>
        </w:r>
        <w:r w:rsidRPr="00716F66">
          <w:rPr>
            <w:lang w:val="en-US"/>
          </w:rPr>
          <w:t xml:space="preserve"> above requirement </w:t>
        </w:r>
        <w:r>
          <w:rPr>
            <w:lang w:val="en-US"/>
          </w:rPr>
          <w:t>does</w:t>
        </w:r>
      </w:ins>
      <w:ins w:id="49" w:author="Huawei user revision" w:date="2022-04-08T10:26:00Z">
        <w:r w:rsidR="00256582">
          <w:rPr>
            <w:lang w:val="en-US"/>
          </w:rPr>
          <w:t xml:space="preserve"> not</w:t>
        </w:r>
      </w:ins>
      <w:ins w:id="50" w:author="Huawei" w:date="2022-04-08T10:18:00Z">
        <w:r>
          <w:rPr>
            <w:lang w:val="en-US"/>
          </w:rPr>
          <w:t xml:space="preserve"> apply to </w:t>
        </w:r>
      </w:ins>
      <w:ins w:id="51" w:author="Huawei" w:date="2022-04-08T10:19:00Z">
        <w:r w:rsidR="002E4FC8">
          <w:rPr>
            <w:lang w:val="en-US"/>
          </w:rPr>
          <w:t xml:space="preserve">the </w:t>
        </w:r>
      </w:ins>
      <w:ins w:id="52" w:author="Huawei user revision" w:date="2022-04-08T10:27:00Z">
        <w:r w:rsidR="00256582">
          <w:rPr>
            <w:lang w:val="en-US"/>
          </w:rPr>
          <w:t xml:space="preserve">case where </w:t>
        </w:r>
      </w:ins>
      <w:ins w:id="53" w:author="Huawei" w:date="2022-04-08T10:20:00Z">
        <w:r w:rsidR="00D0724C">
          <w:rPr>
            <w:lang w:eastAsia="zh-CN"/>
          </w:rPr>
          <w:t>mobile base station relays accessing to 5GC via NR satellite access</w:t>
        </w:r>
        <w:r w:rsidR="00D0724C">
          <w:rPr>
            <w:rFonts w:asciiTheme="minorEastAsia" w:eastAsiaTheme="minorEastAsia" w:hAnsiTheme="minorEastAsia" w:hint="eastAsia"/>
            <w:lang w:eastAsia="zh-CN"/>
          </w:rPr>
          <w:t>.</w:t>
        </w:r>
      </w:ins>
    </w:p>
    <w:p w14:paraId="67070A92" w14:textId="14F64289" w:rsidR="00217A93" w:rsidRDefault="00217A93" w:rsidP="00217A93">
      <w:pPr>
        <w:pStyle w:val="NO"/>
        <w:rPr>
          <w:lang w:eastAsia="en-US"/>
        </w:rPr>
      </w:pPr>
      <w:r>
        <w:rPr>
          <w:lang w:val="en-US"/>
        </w:rPr>
        <w:t>NOTE</w:t>
      </w:r>
      <w:ins w:id="54" w:author="Huawei" w:date="2022-04-08T10:19:00Z">
        <w:r w:rsidR="002E4FC8">
          <w:rPr>
            <w:lang w:val="en-US"/>
          </w:rPr>
          <w:t xml:space="preserve"> 2</w:t>
        </w:r>
      </w:ins>
      <w:r>
        <w:rPr>
          <w:lang w:val="en-US"/>
        </w:rPr>
        <w:t>: Charging support will be coordinated with SA5, and if needed later handled as alignment work in SA2</w:t>
      </w:r>
      <w:r>
        <w:t>.</w:t>
      </w:r>
    </w:p>
    <w:p w14:paraId="142D6041" w14:textId="77777777" w:rsidR="00217A93" w:rsidRDefault="00217A93" w:rsidP="00217A93">
      <w:pPr>
        <w:pStyle w:val="B1"/>
        <w:rPr>
          <w:lang w:val="en-US"/>
        </w:rPr>
      </w:pPr>
      <w:r>
        <w:t xml:space="preserve">- </w:t>
      </w:r>
      <w:r>
        <w:tab/>
      </w:r>
      <w:r>
        <w:rPr>
          <w:lang w:val="en-US"/>
        </w:rPr>
        <w:t>support of regulatory requirements (e.g. for support of emergency services, priority services) when UEs access 5GS via a mobile base station relay;</w:t>
      </w:r>
    </w:p>
    <w:p w14:paraId="2BD24F98" w14:textId="77777777" w:rsidR="00217A93" w:rsidRDefault="00217A93" w:rsidP="00217A93">
      <w:pPr>
        <w:pStyle w:val="B1"/>
      </w:pPr>
      <w:r>
        <w:rPr>
          <w:lang w:val="en-US"/>
        </w:rPr>
        <w:t>-</w:t>
      </w:r>
      <w:r>
        <w:rPr>
          <w:lang w:val="en-US"/>
        </w:rPr>
        <w:tab/>
        <w:t>support roaming of the mobile base station relay from its HPLMN into a VPLMN</w:t>
      </w:r>
      <w:r>
        <w:t xml:space="preserve">. </w:t>
      </w:r>
      <w:bookmarkEnd w:id="30"/>
      <w:bookmarkEnd w:id="31"/>
    </w:p>
    <w:p w14:paraId="6DD6BAA0" w14:textId="5B512E9C" w:rsidR="00AD4D49" w:rsidRDefault="002A457F" w:rsidP="00700C16">
      <w:pPr>
        <w:pStyle w:val="af2"/>
        <w:numPr>
          <w:ilvl w:val="0"/>
          <w:numId w:val="16"/>
        </w:numPr>
      </w:pPr>
      <w:r>
        <w:br/>
      </w:r>
    </w:p>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 w:date="2022-04-08T10:21:00Z" w:initials="HW">
    <w:p w14:paraId="75B7D801" w14:textId="4C681F36" w:rsidR="005064F6" w:rsidRDefault="005064F6">
      <w:pPr>
        <w:pStyle w:val="a8"/>
        <w:rPr>
          <w:lang w:eastAsia="zh-CN"/>
        </w:rPr>
      </w:pPr>
      <w:r>
        <w:rPr>
          <w:rStyle w:val="af0"/>
        </w:rPr>
        <w:annotationRef/>
      </w:r>
      <w:r>
        <w:rPr>
          <w:lang w:eastAsia="zh-CN"/>
        </w:rPr>
        <w:t>Wording</w:t>
      </w:r>
      <w:r>
        <w:t xml:space="preserve"> is changed a little bit</w:t>
      </w:r>
    </w:p>
  </w:comment>
  <w:comment w:id="35" w:author="Huawei" w:date="2022-04-08T10:17:00Z" w:initials="HW">
    <w:p w14:paraId="4E1DA2AD" w14:textId="1AF5CEBF" w:rsidR="00716F66" w:rsidRDefault="00716F66">
      <w:pPr>
        <w:pStyle w:val="a8"/>
        <w:rPr>
          <w:lang w:eastAsia="zh-CN"/>
        </w:rPr>
      </w:pPr>
      <w:r>
        <w:rPr>
          <w:rStyle w:val="af0"/>
        </w:rPr>
        <w:annotationRef/>
      </w:r>
      <w:r w:rsidR="00256582">
        <w:rPr>
          <w:lang w:eastAsia="zh-CN"/>
        </w:rPr>
        <w:t>S</w:t>
      </w:r>
      <w:r w:rsidR="005064F6">
        <w:rPr>
          <w:lang w:eastAsia="zh-CN"/>
        </w:rPr>
        <w:t xml:space="preserve">uggest to </w:t>
      </w:r>
      <w:r w:rsidR="00256582">
        <w:rPr>
          <w:lang w:eastAsia="zh-CN"/>
        </w:rPr>
        <w:t>make</w:t>
      </w:r>
      <w:r w:rsidR="005064F6">
        <w:rPr>
          <w:lang w:eastAsia="zh-CN"/>
        </w:rPr>
        <w:t xml:space="preserve"> this sentence </w:t>
      </w:r>
      <w:r w:rsidR="00256582">
        <w:rPr>
          <w:lang w:eastAsia="zh-CN"/>
        </w:rPr>
        <w:t>as</w:t>
      </w:r>
      <w:r w:rsidR="005064F6">
        <w:rPr>
          <w:lang w:eastAsia="zh-CN"/>
        </w:rPr>
        <w:t xml:space="preserve"> a new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7D801" w15:done="0"/>
  <w15:commentEx w15:paraId="4E1DA2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C1D" w16cex:dateUtc="2022-04-08T01:21:00Z"/>
  <w16cex:commentExtensible w16cex:durableId="25FA8C1E" w16cex:dateUtc="2022-04-08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7D801" w16cid:durableId="25FA8C1D"/>
  <w16cid:commentId w16cid:paraId="4E1DA2AD" w16cid:durableId="25FA8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D2B5B" w14:textId="77777777" w:rsidR="004B67F3" w:rsidRDefault="004B67F3">
      <w:pPr>
        <w:spacing w:after="0"/>
      </w:pPr>
      <w:r>
        <w:separator/>
      </w:r>
    </w:p>
  </w:endnote>
  <w:endnote w:type="continuationSeparator" w:id="0">
    <w:p w14:paraId="6CD7005F" w14:textId="77777777" w:rsidR="004B67F3" w:rsidRDefault="004B67F3">
      <w:pPr>
        <w:spacing w:after="0"/>
      </w:pPr>
      <w:r>
        <w:continuationSeparator/>
      </w:r>
    </w:p>
  </w:endnote>
  <w:endnote w:type="continuationNotice" w:id="1">
    <w:p w14:paraId="2D5CBA78" w14:textId="77777777" w:rsidR="004B67F3" w:rsidRDefault="004B6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81AD" w14:textId="77777777" w:rsidR="004B67F3" w:rsidRDefault="004B67F3">
      <w:pPr>
        <w:spacing w:after="0"/>
      </w:pPr>
      <w:r>
        <w:separator/>
      </w:r>
    </w:p>
  </w:footnote>
  <w:footnote w:type="continuationSeparator" w:id="0">
    <w:p w14:paraId="78A92E80" w14:textId="77777777" w:rsidR="004B67F3" w:rsidRDefault="004B67F3">
      <w:pPr>
        <w:spacing w:after="0"/>
      </w:pPr>
      <w:r>
        <w:continuationSeparator/>
      </w:r>
    </w:p>
  </w:footnote>
  <w:footnote w:type="continuationNotice" w:id="1">
    <w:p w14:paraId="2F6122A1" w14:textId="77777777" w:rsidR="004B67F3" w:rsidRDefault="004B6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4"/>
  </w:num>
  <w:num w:numId="3">
    <w:abstractNumId w:val="16"/>
  </w:num>
  <w:num w:numId="4">
    <w:abstractNumId w:val="2"/>
  </w:num>
  <w:num w:numId="5">
    <w:abstractNumId w:val="12"/>
  </w:num>
  <w:num w:numId="6">
    <w:abstractNumId w:val="8"/>
  </w:num>
  <w:num w:numId="7">
    <w:abstractNumId w:val="15"/>
  </w:num>
  <w:num w:numId="8">
    <w:abstractNumId w:val="3"/>
  </w:num>
  <w:num w:numId="9">
    <w:abstractNumId w:val="10"/>
  </w:num>
  <w:num w:numId="10">
    <w:abstractNumId w:val="11"/>
  </w:num>
  <w:num w:numId="11">
    <w:abstractNumId w:val="9"/>
  </w:num>
  <w:num w:numId="12">
    <w:abstractNumId w:val="13"/>
  </w:num>
  <w:num w:numId="13">
    <w:abstractNumId w:val="6"/>
  </w:num>
  <w:num w:numId="14">
    <w:abstractNumId w:val="5"/>
  </w:num>
  <w:num w:numId="15">
    <w:abstractNumId w:val="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rson w15:author="Huawei">
    <w15:presenceInfo w15:providerId="None" w15:userId="Huawei"/>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1A4"/>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A6F"/>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31"/>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9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582"/>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E18"/>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A3D"/>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FC8"/>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3D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7F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4F6"/>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6F66"/>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34"/>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2BB"/>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CE7"/>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3F7"/>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67"/>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24C"/>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212"/>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B0"/>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locked/>
    <w:rsid w:val="00217A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3517138">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26153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498719">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821780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9B34D08A-B05D-40C3-90FD-2F95B48B9331}">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469</Words>
  <Characters>2679</Characters>
  <Application>Microsoft Office Word</Application>
  <DocSecurity>0</DocSecurity>
  <PresentationFormat/>
  <Lines>22</Lines>
  <Paragraphs>6</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Aoyagi, Kenichiro | Aoken | RMI</cp:lastModifiedBy>
  <cp:revision>2</cp:revision>
  <dcterms:created xsi:type="dcterms:W3CDTF">2022-04-13T01:41:00Z</dcterms:created>
  <dcterms:modified xsi:type="dcterms:W3CDTF">2022-04-13T01:41:00Z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(2)9qFKLCnJbfPxeHJxyhKvsCh/ML4Hq5fhYvCZELLK3ktIV46iFn/I/DE+fYxL95FintvKP4Ix
YWrMzqVPDRoG/vt2r5FVJnnVeyQceb/SQgGeMI/EVn5jlbkT6nTU71I94Y7u6XNmAc62Fljd
mfJO6aaVzYRYrT/cYay1WCvvYbidurP7YJydCw0g44eC8MsiRZoK7pfc5yGN084OG/0rEBIn
Z4oMQRXUvpRbbgP4Y9</vt:lpwstr>
  </property>
  <property fmtid="{D5CDD505-2E9C-101B-9397-08002B2CF9AE}" pid="8" name="_2015_ms_pID_7253431">
    <vt:lpwstr>2L0Vj3scAe/DDF5d+h7MM5n3+1ZLR2TCpdViSDXIGkhROymlO3JyOm
oKZYBCuYOdSQC12T8tJOrQy9eAy0lzVR+VevQlY5uwjVyGkXPzliawe1liLBd6z0YlYE2TNg
DimVFkzHMkbWM6v2QqMym1ISvT8O5uwNC2SyfnpUoARxKuM4jyvTCq0HWPL98BeXhEb9jMP7
dt4ct92l3aP4VOZ7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1649215277</vt:lpwstr>
  </property>
</Properties>
</file>